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21" w:rsidRDefault="00CF7C21" w:rsidP="00CF7C21">
      <w:pPr>
        <w:pStyle w:val="Heading3"/>
      </w:pPr>
      <w:r w:rsidRPr="0057465B">
        <w:t xml:space="preserve">FINAL ANALYTICAL REVIEW </w:t>
      </w:r>
    </w:p>
    <w:p w:rsidR="00CF7C21" w:rsidRPr="000F100B" w:rsidRDefault="00CF7C21" w:rsidP="00CF7C21"/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CF7C21" w:rsidRPr="000F100B" w:rsidTr="00241032"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CF7C21" w:rsidRPr="000F100B" w:rsidTr="00241032"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C21" w:rsidRPr="000F100B" w:rsidTr="00241032"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C21" w:rsidRPr="000F100B" w:rsidTr="00241032"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F7C21" w:rsidRPr="000F100B" w:rsidTr="00241032"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F7C21" w:rsidRPr="000F100B" w:rsidRDefault="00CF7C21" w:rsidP="00CF7C21">
      <w:pPr>
        <w:rPr>
          <w:rFonts w:ascii="Arial" w:hAnsi="Arial" w:cs="Arial"/>
          <w:sz w:val="20"/>
        </w:rPr>
      </w:pPr>
    </w:p>
    <w:p w:rsidR="00CF7C21" w:rsidRPr="000F100B" w:rsidRDefault="00CF7C21" w:rsidP="00CF7C21">
      <w:pPr>
        <w:rPr>
          <w:rFonts w:ascii="Arial" w:hAnsi="Arial" w:cs="Arial"/>
          <w:sz w:val="20"/>
        </w:rPr>
      </w:pPr>
    </w:p>
    <w:tbl>
      <w:tblPr>
        <w:tblW w:w="13860" w:type="dxa"/>
        <w:tblInd w:w="-612" w:type="dxa"/>
        <w:tblLayout w:type="fixed"/>
        <w:tblLook w:val="0000"/>
      </w:tblPr>
      <w:tblGrid>
        <w:gridCol w:w="2160"/>
        <w:gridCol w:w="1080"/>
        <w:gridCol w:w="1080"/>
        <w:gridCol w:w="1260"/>
        <w:gridCol w:w="1800"/>
        <w:gridCol w:w="1004"/>
        <w:gridCol w:w="1696"/>
        <w:gridCol w:w="1444"/>
        <w:gridCol w:w="2336"/>
      </w:tblGrid>
      <w:tr w:rsidR="00CF7C21" w:rsidRPr="000F100B" w:rsidTr="00241032">
        <w:trPr>
          <w:trHeight w:val="510"/>
          <w:tblHeader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Audit Components</w:t>
            </w:r>
          </w:p>
          <w:p w:rsidR="00CF7C21" w:rsidRPr="000F100B" w:rsidRDefault="00CF7C21" w:rsidP="00241032">
            <w:pPr>
              <w:jc w:val="both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[Insert actual audited components]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Current year final figures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Current year budget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C21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Difference between actual  and budget</w:t>
            </w:r>
          </w:p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766F9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[Actual less Budgeted amount]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21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% difference</w:t>
            </w:r>
          </w:p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766F9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[(Actual less budgeted amount) / budgeted amoun</w:t>
            </w:r>
            <w:r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t]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Prior year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C21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Difference current v current and prior year</w:t>
            </w:r>
          </w:p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766F9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[Actual less prior year amount]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C21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% difference</w:t>
            </w:r>
          </w:p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A766F9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[(Current year actual less prior year) / prior year figure]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7C21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Explanations of variances over 10%</w:t>
            </w:r>
          </w:p>
          <w:p w:rsidR="00CF7C21" w:rsidRPr="000734EE" w:rsidRDefault="00CF7C21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[These variances are only indicative of risk areas. They do not represent misstatements]</w:t>
            </w:r>
          </w:p>
        </w:tc>
      </w:tr>
      <w:tr w:rsidR="00CF7C21" w:rsidRPr="000F100B" w:rsidTr="00241032">
        <w:trPr>
          <w:trHeight w:val="255"/>
          <w:tblHeader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F7C21" w:rsidRDefault="00CF7C21" w:rsidP="00241032">
            <w:pPr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  <w:tblHeader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REVENUE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Voted funds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Other income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TOTAL REVENUE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3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3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PERSONNEL EMOLUMENTS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Salary payments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Overtime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Bonus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Allowances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TOTAL PERSONNEL EMOLUMENTS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Goods and services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>Professional services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Subsistence and travelling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Administrative 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TOTAL EXPENDITURE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TRANSFERS AND SUBSIDIES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NET SURPLUS /(DEFICIT) FOR THE YEAR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INVENTORY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ASSET MANAGEMENT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Equipment and machinery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Furniture and fittings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Cultivated assets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Computer equipment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Other fixed structures (e.g. roads etc)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Land and buildings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7C21" w:rsidRPr="000F100B" w:rsidRDefault="00CF7C21" w:rsidP="00241032">
            <w:pPr>
              <w:jc w:val="both"/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lastRenderedPageBreak/>
              <w:t>TOTAL ASSETS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LIABILITIES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F7C21" w:rsidRPr="000F100B" w:rsidTr="00241032">
        <w:trPr>
          <w:trHeight w:val="25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i/>
                <w:color w:val="FF0000"/>
                <w:sz w:val="20"/>
                <w:lang w:val="en-US"/>
              </w:rPr>
              <w:t>CONTRACTS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</w:tcPr>
          <w:p w:rsidR="00CF7C21" w:rsidRPr="000F100B" w:rsidRDefault="00CF7C21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7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CF7C21" w:rsidRPr="000F100B" w:rsidTr="00241032">
        <w:trPr>
          <w:trHeight w:val="27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CF7C21" w:rsidRPr="000F100B" w:rsidRDefault="00CF7C21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CF7C21" w:rsidRPr="000F100B" w:rsidRDefault="00CF7C21" w:rsidP="00CF7C21">
      <w:pPr>
        <w:rPr>
          <w:rFonts w:ascii="Arial" w:hAnsi="Arial" w:cs="Arial"/>
          <w:sz w:val="20"/>
        </w:rPr>
      </w:pPr>
    </w:p>
    <w:p w:rsidR="00CF7C21" w:rsidRPr="000F100B" w:rsidRDefault="00CF7C21" w:rsidP="00CF7C21">
      <w:pPr>
        <w:rPr>
          <w:rFonts w:ascii="Arial" w:hAnsi="Arial" w:cs="Arial"/>
          <w:sz w:val="20"/>
        </w:rPr>
      </w:pPr>
    </w:p>
    <w:p w:rsidR="00CF7C21" w:rsidRPr="000F100B" w:rsidRDefault="00CF7C21" w:rsidP="00CF7C21">
      <w:pPr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Conclusion</w:t>
      </w:r>
    </w:p>
    <w:p w:rsidR="00CF7C21" w:rsidRPr="000F100B" w:rsidRDefault="00CF7C21" w:rsidP="00CF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</w:rPr>
      </w:pPr>
      <w:r w:rsidRPr="00CC4535">
        <w:rPr>
          <w:rFonts w:ascii="Arial" w:hAnsi="Arial" w:cs="Arial"/>
          <w:i/>
          <w:sz w:val="20"/>
        </w:rPr>
        <w:t xml:space="preserve">[Conclude whether the initial assessment of risk on the financial statement level was identified correctly and audit work has adequately covered all risk areas] </w:t>
      </w:r>
    </w:p>
    <w:p w:rsidR="00CF7C21" w:rsidRPr="000F100B" w:rsidRDefault="00CF7C21" w:rsidP="00CF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CF7C21" w:rsidRPr="000F100B" w:rsidRDefault="00CF7C21" w:rsidP="00CF7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624675" w:rsidRDefault="00624675"/>
    <w:sectPr w:rsidR="00624675" w:rsidSect="00CF7C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F7C21"/>
    <w:rsid w:val="00624675"/>
    <w:rsid w:val="00C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21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CF7C21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F7C21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CF7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1535</Characters>
  <Application>Microsoft Office Word</Application>
  <DocSecurity>0</DocSecurity>
  <Lines>12</Lines>
  <Paragraphs>3</Paragraphs>
  <ScaleCrop>false</ScaleCrop>
  <Company> 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2004-09-16T17:57:00Z</dcterms:created>
  <dcterms:modified xsi:type="dcterms:W3CDTF">2004-09-16T17:57:00Z</dcterms:modified>
</cp:coreProperties>
</file>