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FD" w:rsidRDefault="009108FD" w:rsidP="009108FD">
      <w:pPr>
        <w:pStyle w:val="Heading3"/>
        <w:rPr>
          <w:noProof/>
          <w:lang w:eastAsia="en-ZA"/>
        </w:rPr>
      </w:pPr>
      <w:r w:rsidRPr="00532B18">
        <w:rPr>
          <w:noProof/>
          <w:lang w:eastAsia="en-ZA"/>
        </w:rPr>
        <w:t>QUALITY CONTROL QUESTIONNAIRE FOR</w:t>
      </w:r>
      <w:r>
        <w:rPr>
          <w:noProof/>
          <w:lang w:eastAsia="en-ZA"/>
        </w:rPr>
        <w:t xml:space="preserve"> DETAILED PLANNING AND FIELDWORK </w:t>
      </w:r>
    </w:p>
    <w:p w:rsidR="009108FD" w:rsidRPr="00532B18" w:rsidRDefault="009108FD" w:rsidP="009108FD">
      <w:pPr>
        <w:rPr>
          <w:rFonts w:ascii="Arial" w:hAnsi="Arial" w:cs="Arial"/>
          <w:b/>
          <w:noProof/>
          <w:lang w:eastAsia="en-ZA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9108FD" w:rsidRPr="000F100B" w:rsidTr="00241032">
        <w:tc>
          <w:tcPr>
            <w:tcW w:w="162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9108FD" w:rsidRPr="000F100B" w:rsidTr="00241032">
        <w:tc>
          <w:tcPr>
            <w:tcW w:w="162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108FD" w:rsidRPr="000F100B" w:rsidTr="00241032">
        <w:tc>
          <w:tcPr>
            <w:tcW w:w="162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108FD" w:rsidRPr="000F100B" w:rsidTr="00241032">
        <w:tc>
          <w:tcPr>
            <w:tcW w:w="162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108FD" w:rsidRPr="000F100B" w:rsidTr="00241032">
        <w:tc>
          <w:tcPr>
            <w:tcW w:w="162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407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108FD" w:rsidRDefault="009108FD" w:rsidP="009108FD"/>
    <w:tbl>
      <w:tblPr>
        <w:tblW w:w="14367" w:type="dxa"/>
        <w:tblInd w:w="-792" w:type="dxa"/>
        <w:tblLayout w:type="fixed"/>
        <w:tblLook w:val="0000"/>
      </w:tblPr>
      <w:tblGrid>
        <w:gridCol w:w="616"/>
        <w:gridCol w:w="3545"/>
        <w:gridCol w:w="1275"/>
        <w:gridCol w:w="567"/>
        <w:gridCol w:w="567"/>
        <w:gridCol w:w="567"/>
        <w:gridCol w:w="1276"/>
        <w:gridCol w:w="567"/>
        <w:gridCol w:w="567"/>
        <w:gridCol w:w="567"/>
        <w:gridCol w:w="1276"/>
        <w:gridCol w:w="609"/>
        <w:gridCol w:w="567"/>
        <w:gridCol w:w="567"/>
        <w:gridCol w:w="1234"/>
      </w:tblGrid>
      <w:tr w:rsidR="009108FD" w:rsidRPr="00756368" w:rsidTr="00241032">
        <w:trPr>
          <w:trHeight w:val="300"/>
          <w:tblHeader/>
        </w:trPr>
        <w:tc>
          <w:tcPr>
            <w:tcW w:w="4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sz w:val="20"/>
                <w:lang w:val="en-US"/>
              </w:rPr>
              <w:t>Questions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15292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ISSAI </w:t>
            </w: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Ref.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8E5CF0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</w:pPr>
            <w:r w:rsidRPr="00562239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1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st</w:t>
            </w:r>
            <w:r w:rsidRPr="008E5CF0" w:rsidDel="008E5CF0">
              <w:rPr>
                <w:rFonts w:ascii="Trebuchet MS" w:hAnsi="Trebuchet MS" w:cs="Arial"/>
                <w:b/>
                <w:bCs/>
                <w:color w:val="FF0000"/>
                <w:sz w:val="20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level</w:t>
            </w:r>
            <w:r w:rsidRPr="008E5CF0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reviewer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8E5CF0" w:rsidRDefault="009108FD" w:rsidP="00241032">
            <w:pPr>
              <w:jc w:val="center"/>
              <w:rPr>
                <w:rFonts w:ascii="Trebuchet MS" w:hAnsi="Trebuchet MS" w:cs="Arial"/>
                <w:bCs/>
                <w:sz w:val="20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2</w:t>
            </w:r>
            <w:r w:rsidRPr="00562239">
              <w:rPr>
                <w:rFonts w:ascii="Trebuchet MS" w:hAnsi="Trebuchet MS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nd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level</w:t>
            </w:r>
            <w:r w:rsidRPr="008E5CF0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reviewer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>3</w:t>
            </w:r>
            <w:r w:rsidRPr="00562239">
              <w:rPr>
                <w:rFonts w:ascii="Trebuchet MS" w:hAnsi="Trebuchet MS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rd</w:t>
            </w:r>
            <w:r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level</w:t>
            </w:r>
            <w:r w:rsidRPr="008E5CF0">
              <w:rPr>
                <w:rFonts w:ascii="Trebuchet MS" w:hAnsi="Trebuchet MS" w:cs="Arial"/>
                <w:b/>
                <w:bCs/>
                <w:i/>
                <w:color w:val="FF0000"/>
                <w:sz w:val="20"/>
                <w:lang w:val="en-US"/>
              </w:rPr>
              <w:t xml:space="preserve"> reviewer</w:t>
            </w:r>
          </w:p>
        </w:tc>
      </w:tr>
      <w:tr w:rsidR="009108FD" w:rsidRPr="00454210" w:rsidTr="00241032">
        <w:trPr>
          <w:trHeight w:val="300"/>
          <w:tblHeader/>
        </w:trPr>
        <w:tc>
          <w:tcPr>
            <w:tcW w:w="4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15292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15292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54210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54210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54210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54210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Comments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54210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54210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54210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54210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Comments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54210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54210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54210" w:rsidRDefault="009108FD" w:rsidP="00241032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108FD" w:rsidRPr="00454210" w:rsidRDefault="009108FD" w:rsidP="00241032">
            <w:pPr>
              <w:rPr>
                <w:rFonts w:ascii="Trebuchet MS" w:hAnsi="Trebuchet MS" w:cs="Arial"/>
                <w:b/>
                <w:bCs/>
                <w:sz w:val="20"/>
                <w:lang w:val="en-US"/>
              </w:rPr>
            </w:pPr>
            <w:r w:rsidRPr="00415292">
              <w:rPr>
                <w:rFonts w:ascii="Trebuchet MS" w:hAnsi="Trebuchet MS" w:cs="Arial"/>
                <w:b/>
                <w:bCs/>
                <w:sz w:val="20"/>
                <w:lang w:val="en-US"/>
              </w:rPr>
              <w:t>Comments</w:t>
            </w:r>
          </w:p>
        </w:tc>
      </w:tr>
      <w:tr w:rsidR="009108FD" w:rsidRPr="00756368" w:rsidTr="00241032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Was the auditor's understanding of the business processes evident, e.g. through system descriptions, for all material audit components? (Refer to the system descriptions working paper)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500</w:t>
            </w:r>
          </w:p>
          <w:p w:rsidR="009108FD" w:rsidRPr="00756368" w:rsidRDefault="009108F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2.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Did the system descriptions include the flow of transactions, risks and controls for every audited component?</w:t>
            </w:r>
            <w:r>
              <w:rPr>
                <w:rFonts w:ascii="Arial" w:hAnsi="Arial" w:cs="Arial"/>
                <w:sz w:val="20"/>
                <w:lang w:val="en-US"/>
              </w:rPr>
              <w:t xml:space="preserve"> (Refer to the system descriptions working paper)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51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Did the system descriptions include controls prescribed by relevant regulations, instructions and manuals? </w:t>
            </w:r>
            <w:r>
              <w:rPr>
                <w:rFonts w:ascii="Arial" w:hAnsi="Arial" w:cs="Arial"/>
                <w:sz w:val="20"/>
                <w:lang w:val="en-US"/>
              </w:rPr>
              <w:t xml:space="preserve"> (Refer to the system descriptions working paper)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7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Were system descriptions verified by way of walkthrough tests and was the verification adequately documented?</w:t>
            </w:r>
            <w:r>
              <w:rPr>
                <w:rFonts w:ascii="Arial" w:hAnsi="Arial" w:cs="Arial"/>
                <w:sz w:val="20"/>
                <w:lang w:val="en-US"/>
              </w:rPr>
              <w:t xml:space="preserve"> (Refer to the system descriptions working paper)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Were exceptions raised for control weaknesses found</w:t>
            </w:r>
            <w:r>
              <w:rPr>
                <w:rFonts w:ascii="Arial" w:hAnsi="Arial" w:cs="Arial"/>
                <w:sz w:val="20"/>
                <w:lang w:val="en-US"/>
              </w:rPr>
              <w:t xml:space="preserve"> and were they communicated to management</w:t>
            </w:r>
            <w:r w:rsidRPr="00CC4535">
              <w:rPr>
                <w:rFonts w:ascii="Arial" w:hAnsi="Arial" w:cs="Arial"/>
                <w:sz w:val="20"/>
                <w:lang w:val="en-US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rPr>
                <w:rFonts w:ascii="Trebuchet MS" w:hAnsi="Trebuchet MS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6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Was the reliance on key controls documented clearly and was it appropriate to support the planned audit assurance to be obtained? (refer to Reliance on key controls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bCs/>
                <w:sz w:val="20"/>
                <w:lang w:val="en-US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9D7498" w:rsidRDefault="009108FD" w:rsidP="00241032">
            <w:pPr>
              <w:jc w:val="center"/>
              <w:rPr>
                <w:rFonts w:ascii="Arial" w:hAnsi="Arial" w:cs="Arial"/>
                <w:bCs/>
                <w:sz w:val="20"/>
                <w:highlight w:val="yellow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9D7498" w:rsidRDefault="009108FD" w:rsidP="00241032">
            <w:pPr>
              <w:rPr>
                <w:rFonts w:ascii="Arial" w:hAnsi="Arial" w:cs="Arial"/>
                <w:sz w:val="20"/>
                <w:highlight w:val="yellow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Were controls identified on which reliance is intended for each assertion?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I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s the </w:t>
            </w:r>
            <w:r>
              <w:rPr>
                <w:rFonts w:ascii="Arial" w:hAnsi="Arial" w:cs="Arial"/>
                <w:sz w:val="20"/>
                <w:lang w:val="en-US"/>
              </w:rPr>
              <w:t xml:space="preserve">conclusion of the walkthrough test 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conclusive to support the </w:t>
            </w:r>
            <w:r>
              <w:rPr>
                <w:rFonts w:ascii="Arial" w:hAnsi="Arial" w:cs="Arial"/>
                <w:sz w:val="20"/>
                <w:lang w:val="en-US"/>
              </w:rPr>
              <w:t xml:space="preserve">preliminary control 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reliance?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Were planning working papers reviewed and approved prior to commencement of the audit testing?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10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Where reliance has been placed on internal controls: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(a)  </w:t>
            </w:r>
            <w:r w:rsidRPr="00CC4535">
              <w:rPr>
                <w:rFonts w:ascii="Arial" w:hAnsi="Arial" w:cs="Arial"/>
                <w:sz w:val="20"/>
                <w:lang w:val="en-US"/>
              </w:rPr>
              <w:t>Have tests of control been performed for each control to be relied upon?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(b)  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Was the internal control procedure in place for the whole financial year audited?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Were the tests of controls approved prior to execution?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Did the test of control procedures specifically address significant risks identified and were they clearly separated from substantive procedures?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13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Were the samples selected for testing reasonable and representative of the population?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14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Does it appear that the tests of controls results were properly assessed and evaluated?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Was the level of control reliance appropriately re-stated where necessary after tests of controls?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lang w:val="en-US"/>
              </w:rPr>
              <w:t>6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Were substantive procedures developed and performed to adequately address all relevant audited components?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1330</w:t>
            </w:r>
          </w:p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Was the use of substantive analytical procedures considered to reduce the performance and extent substantive audit procedures?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1520</w:t>
            </w:r>
          </w:p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330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18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Before commencement of detailed substantive testing was the 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source documentation, direction of testing, population size, </w:t>
            </w:r>
            <w:r>
              <w:rPr>
                <w:rFonts w:ascii="Arial" w:hAnsi="Arial" w:cs="Arial"/>
                <w:sz w:val="20"/>
                <w:lang w:val="en-US"/>
              </w:rPr>
              <w:t xml:space="preserve">sample method used and </w:t>
            </w:r>
            <w:r w:rsidRPr="00CC4535">
              <w:rPr>
                <w:rFonts w:ascii="Arial" w:hAnsi="Arial" w:cs="Arial"/>
                <w:sz w:val="20"/>
                <w:lang w:val="en-US"/>
              </w:rPr>
              <w:t>sample size</w:t>
            </w:r>
            <w:r>
              <w:rPr>
                <w:rFonts w:ascii="Arial" w:hAnsi="Arial" w:cs="Arial"/>
                <w:sz w:val="20"/>
                <w:lang w:val="en-US"/>
              </w:rPr>
              <w:t xml:space="preserve"> to be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 tested </w:t>
            </w:r>
            <w:r>
              <w:rPr>
                <w:rFonts w:ascii="Arial" w:hAnsi="Arial" w:cs="Arial"/>
                <w:sz w:val="20"/>
                <w:lang w:val="en-US"/>
              </w:rPr>
              <w:t>indicated?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230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19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Was sufficient </w:t>
            </w:r>
            <w:r>
              <w:rPr>
                <w:rFonts w:ascii="Arial" w:hAnsi="Arial" w:cs="Arial"/>
                <w:sz w:val="20"/>
                <w:lang w:val="en-US"/>
              </w:rPr>
              <w:t xml:space="preserve">audit 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evidence gathered to </w:t>
            </w:r>
            <w:r>
              <w:rPr>
                <w:rFonts w:ascii="Arial" w:hAnsi="Arial" w:cs="Arial"/>
                <w:sz w:val="20"/>
                <w:lang w:val="en-US"/>
              </w:rPr>
              <w:t>satisfy the required level of assurance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1500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20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Were </w:t>
            </w:r>
            <w:proofErr w:type="gramStart"/>
            <w:r w:rsidRPr="00CC4535">
              <w:rPr>
                <w:rFonts w:ascii="Arial" w:hAnsi="Arial" w:cs="Arial"/>
                <w:sz w:val="20"/>
                <w:lang w:val="en-US"/>
              </w:rPr>
              <w:t>all the</w:t>
            </w:r>
            <w:proofErr w:type="gramEnd"/>
            <w:r w:rsidRPr="00CC4535">
              <w:rPr>
                <w:rFonts w:ascii="Arial" w:hAnsi="Arial" w:cs="Arial"/>
                <w:sz w:val="20"/>
                <w:lang w:val="en-US"/>
              </w:rPr>
              <w:t xml:space="preserve"> audit working papers and audit procedures prop</w:t>
            </w:r>
            <w:r>
              <w:rPr>
                <w:rFonts w:ascii="Arial" w:hAnsi="Arial" w:cs="Arial"/>
                <w:sz w:val="20"/>
                <w:lang w:val="en-US"/>
              </w:rPr>
              <w:t>erly completed and concluded (to all re-performance by a third party and arrive at the same conclusion)?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21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Were all relevant audit queries/exceptions appropriately raised?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530.15    </w:t>
            </w: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22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Are exceptions supported by and cross referenced to audit evidence?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23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Are well-supported conclusions stated for each component? </w:t>
            </w:r>
            <w:r>
              <w:rPr>
                <w:rFonts w:ascii="Arial" w:hAnsi="Arial" w:cs="Arial"/>
                <w:sz w:val="20"/>
                <w:lang w:val="en-US"/>
              </w:rPr>
              <w:t>(Refer to the Audit summary memorandum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330.28-29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24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Is there a clear and traceable link between the audited financial statements and the audit procedures performed?</w:t>
            </w:r>
            <w:r>
              <w:rPr>
                <w:rFonts w:ascii="Arial" w:hAnsi="Arial" w:cs="Arial"/>
                <w:sz w:val="20"/>
                <w:lang w:val="en-US"/>
              </w:rPr>
              <w:t xml:space="preserve"> (Refer to Lead schedule on component level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5E753B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5</w:t>
            </w:r>
            <w:r w:rsidRPr="0057465B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 xml:space="preserve">Were conclusions drawn on all queries, exceptions and review points either satisfactorily resolved and the impact on the </w:t>
            </w:r>
            <w:r>
              <w:rPr>
                <w:rFonts w:ascii="Arial" w:hAnsi="Arial" w:cs="Arial"/>
                <w:sz w:val="20"/>
                <w:lang w:val="en-US"/>
              </w:rPr>
              <w:t>auditor’s report</w:t>
            </w:r>
            <w:r w:rsidRPr="0057465B">
              <w:rPr>
                <w:rFonts w:ascii="Arial" w:hAnsi="Arial" w:cs="Arial"/>
                <w:sz w:val="20"/>
                <w:lang w:val="en-US"/>
              </w:rPr>
              <w:t xml:space="preserve"> determined?</w:t>
            </w:r>
            <w:r>
              <w:rPr>
                <w:rFonts w:ascii="Arial" w:hAnsi="Arial" w:cs="Arial"/>
                <w:sz w:val="20"/>
                <w:lang w:val="en-US"/>
              </w:rPr>
              <w:t xml:space="preserve"> This point is especially important for audits with ‘clean reports’.</w:t>
            </w:r>
          </w:p>
          <w:p w:rsidR="009108FD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 xml:space="preserve"> (Refer to the Audit summary memorandum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5E753B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1220.16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26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Was materiality considered during the evaluation of the results of procedures performed and were proper conclusions reached in this regard? </w:t>
            </w:r>
            <w:r>
              <w:rPr>
                <w:rFonts w:ascii="Arial" w:hAnsi="Arial" w:cs="Arial"/>
                <w:sz w:val="20"/>
                <w:lang w:val="en-US"/>
              </w:rPr>
              <w:t>(Refer to the Substantive audit procedures performance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320.10-13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27</w:t>
            </w:r>
            <w:r w:rsidRPr="00CC4535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If the audit approach had been changed during the audit was the reason for the change documented</w:t>
            </w:r>
            <w:r>
              <w:rPr>
                <w:rFonts w:ascii="Arial" w:hAnsi="Arial" w:cs="Arial"/>
                <w:sz w:val="20"/>
                <w:lang w:val="en-US"/>
              </w:rPr>
              <w:t>? (Refer to the Audit summary memorandum working paper)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330 </w:t>
            </w: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28.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Were accounting estimates</w:t>
            </w:r>
            <w:r>
              <w:rPr>
                <w:rFonts w:ascii="Arial" w:hAnsi="Arial" w:cs="Arial"/>
                <w:sz w:val="20"/>
                <w:lang w:val="en-US"/>
              </w:rPr>
              <w:t xml:space="preserve">, e.g. </w:t>
            </w:r>
            <w:proofErr w:type="gramStart"/>
            <w:r>
              <w:rPr>
                <w:rFonts w:ascii="Arial" w:hAnsi="Arial" w:cs="Arial"/>
                <w:sz w:val="20"/>
                <w:lang w:val="en-US"/>
              </w:rPr>
              <w:t xml:space="preserve">provision for bad debt, depreciation </w:t>
            </w:r>
            <w:r w:rsidRPr="00CC4535">
              <w:rPr>
                <w:rFonts w:ascii="Arial" w:hAnsi="Arial" w:cs="Arial"/>
                <w:sz w:val="20"/>
                <w:lang w:val="en-US"/>
              </w:rPr>
              <w:t>adequately ass</w:t>
            </w:r>
            <w:r>
              <w:rPr>
                <w:rFonts w:ascii="Arial" w:hAnsi="Arial" w:cs="Arial"/>
                <w:sz w:val="20"/>
                <w:lang w:val="en-US"/>
              </w:rPr>
              <w:t>essed for reasonableness and were</w:t>
            </w:r>
            <w:proofErr w:type="gramEnd"/>
            <w:r w:rsidRPr="00CC4535">
              <w:rPr>
                <w:rFonts w:ascii="Arial" w:hAnsi="Arial" w:cs="Arial"/>
                <w:sz w:val="20"/>
                <w:lang w:val="en-US"/>
              </w:rPr>
              <w:t xml:space="preserve"> differences correctly followed up?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Are adjusting </w:t>
            </w:r>
            <w:r>
              <w:rPr>
                <w:rFonts w:ascii="Arial" w:hAnsi="Arial" w:cs="Arial"/>
                <w:sz w:val="20"/>
                <w:lang w:val="en-US"/>
              </w:rPr>
              <w:t xml:space="preserve">year-end journal </w:t>
            </w:r>
            <w:r w:rsidRPr="00CC4535">
              <w:rPr>
                <w:rFonts w:ascii="Arial" w:hAnsi="Arial" w:cs="Arial"/>
                <w:sz w:val="20"/>
                <w:lang w:val="en-US"/>
              </w:rPr>
              <w:t>entries adequately supported by the working papers, cross-referenced to appropriate schedules and agreed with the financial statements?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  <w:tr w:rsidR="009108FD" w:rsidRPr="00756368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CC4535" w:rsidRDefault="009108FD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Was each step of the audit procedures initialed and cross-referenced to the working paper with evidence to indicate that the work was completed?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0F100B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220</w:t>
            </w:r>
          </w:p>
          <w:p w:rsidR="009108FD" w:rsidRDefault="009108FD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ISSAI 1</w:t>
            </w:r>
            <w:r w:rsidRPr="00CC4535">
              <w:rPr>
                <w:rFonts w:ascii="Arial" w:hAnsi="Arial" w:cs="Arial"/>
                <w:sz w:val="20"/>
                <w:lang w:val="en-US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8FD" w:rsidRPr="00756368" w:rsidRDefault="009108FD" w:rsidP="00241032">
            <w:pPr>
              <w:jc w:val="center"/>
              <w:rPr>
                <w:rFonts w:ascii="Trebuchet MS" w:hAnsi="Trebuchet MS" w:cs="Arial"/>
                <w:sz w:val="20"/>
                <w:lang w:val="en-US"/>
              </w:rPr>
            </w:pPr>
          </w:p>
        </w:tc>
      </w:tr>
    </w:tbl>
    <w:p w:rsidR="009108FD" w:rsidRDefault="009108FD" w:rsidP="009108FD">
      <w:pPr>
        <w:rPr>
          <w:rFonts w:ascii="Arial" w:hAnsi="Arial" w:cs="Arial"/>
          <w:b/>
          <w:i/>
          <w:snapToGrid w:val="0"/>
          <w:sz w:val="20"/>
        </w:rPr>
        <w:sectPr w:rsidR="009108FD" w:rsidSect="00E867CF">
          <w:pgSz w:w="15840" w:h="12240" w:orient="landscape"/>
          <w:pgMar w:top="1797" w:right="890" w:bottom="1797" w:left="1440" w:header="720" w:footer="720" w:gutter="0"/>
          <w:cols w:space="720"/>
          <w:docGrid w:linePitch="360"/>
        </w:sectPr>
      </w:pPr>
    </w:p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108FD"/>
    <w:rsid w:val="00624675"/>
    <w:rsid w:val="0091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FD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9108FD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08FD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910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801</Words>
  <Characters>4566</Characters>
  <Application>Microsoft Office Word</Application>
  <DocSecurity>0</DocSecurity>
  <Lines>38</Lines>
  <Paragraphs>10</Paragraphs>
  <ScaleCrop>false</ScaleCrop>
  <Company> 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2004-09-16T17:39:00Z</dcterms:created>
  <dcterms:modified xsi:type="dcterms:W3CDTF">2004-09-16T17:39:00Z</dcterms:modified>
</cp:coreProperties>
</file>