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D" w:rsidRDefault="00116C8D" w:rsidP="00116C8D">
      <w:pPr>
        <w:pStyle w:val="Heading3"/>
        <w:rPr>
          <w:noProof/>
          <w:lang w:eastAsia="en-ZA"/>
        </w:rPr>
      </w:pPr>
      <w:r w:rsidRPr="0057465B">
        <w:rPr>
          <w:noProof/>
          <w:lang w:eastAsia="en-ZA"/>
        </w:rPr>
        <w:t>QUALITY CONTROL QUESTIONNAIRE FOR STRATEGIC PLANNING</w:t>
      </w:r>
    </w:p>
    <w:p w:rsidR="00116C8D" w:rsidRDefault="00116C8D" w:rsidP="00116C8D">
      <w:pPr>
        <w:rPr>
          <w:noProof/>
          <w:lang w:eastAsia="en-ZA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116C8D" w:rsidRPr="000F100B" w:rsidTr="00241032"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116C8D" w:rsidRPr="000F100B" w:rsidTr="00241032"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16C8D" w:rsidRPr="000F100B" w:rsidTr="00241032"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16C8D" w:rsidRPr="000F100B" w:rsidTr="00241032"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16C8D" w:rsidRPr="000F100B" w:rsidTr="00241032"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16C8D" w:rsidRPr="000F100B" w:rsidRDefault="00116C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16C8D" w:rsidRDefault="00116C8D" w:rsidP="00116C8D"/>
    <w:tbl>
      <w:tblPr>
        <w:tblW w:w="14367" w:type="dxa"/>
        <w:tblInd w:w="-792" w:type="dxa"/>
        <w:tblLayout w:type="fixed"/>
        <w:tblLook w:val="0000"/>
      </w:tblPr>
      <w:tblGrid>
        <w:gridCol w:w="616"/>
        <w:gridCol w:w="3545"/>
        <w:gridCol w:w="1134"/>
        <w:gridCol w:w="567"/>
        <w:gridCol w:w="567"/>
        <w:gridCol w:w="567"/>
        <w:gridCol w:w="1276"/>
        <w:gridCol w:w="567"/>
        <w:gridCol w:w="567"/>
        <w:gridCol w:w="567"/>
        <w:gridCol w:w="1417"/>
        <w:gridCol w:w="609"/>
        <w:gridCol w:w="567"/>
        <w:gridCol w:w="567"/>
        <w:gridCol w:w="1234"/>
      </w:tblGrid>
      <w:tr w:rsidR="00116C8D" w:rsidRPr="00756368" w:rsidTr="00241032">
        <w:trPr>
          <w:trHeight w:val="300"/>
          <w:tblHeader/>
        </w:trPr>
        <w:tc>
          <w:tcPr>
            <w:tcW w:w="4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15292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z w:val="20"/>
                <w:lang w:val="en-US"/>
              </w:rPr>
              <w:t>Questions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945075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ISSAI Ref.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8E5CF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</w:pP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1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st</w:t>
            </w:r>
            <w:r w:rsidRPr="008E5CF0" w:rsidDel="008E5CF0">
              <w:rPr>
                <w:rFonts w:ascii="Trebuchet MS" w:hAnsi="Trebuchet MS" w:cs="Arial"/>
                <w:b/>
                <w:bCs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8E5CF0" w:rsidRDefault="00116C8D" w:rsidP="00241032">
            <w:pPr>
              <w:jc w:val="center"/>
              <w:rPr>
                <w:rFonts w:ascii="Trebuchet MS" w:hAnsi="Trebuchet MS" w:cs="Arial"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2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3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</w:tr>
      <w:tr w:rsidR="00116C8D" w:rsidRPr="00454210" w:rsidTr="00241032">
        <w:trPr>
          <w:trHeight w:val="300"/>
          <w:tblHeader/>
        </w:trPr>
        <w:tc>
          <w:tcPr>
            <w:tcW w:w="4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15292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945075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16C8D" w:rsidRPr="00454210" w:rsidRDefault="00116C8D" w:rsidP="00241032">
            <w:pPr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</w:tr>
      <w:tr w:rsidR="00116C8D" w:rsidRPr="00756368" w:rsidTr="00241032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Trebuchet MS" w:hAnsi="Trebuchet MS" w:cs="Arial"/>
                <w:sz w:val="20"/>
                <w:lang w:val="en-US"/>
              </w:rPr>
              <w:t>1.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sz w:val="20"/>
                <w:lang w:val="en-US"/>
              </w:rPr>
              <w:t>Have all material balances in the financial statements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been identified for audit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 coverage and cross referenced to the final audited financial statement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?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 Planning materiality working paper)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sz w:val="20"/>
                <w:lang w:val="en-US"/>
              </w:rPr>
              <w:t>ISSAI 1315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sz w:val="20"/>
                <w:lang w:val="en-US"/>
              </w:rPr>
              <w:t>Have prior year’s issues been identified as risk areas?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3.7.3 Prior year’s audit matters working paper)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2064CF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5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an acceptable materiality level set for </w:t>
            </w:r>
            <w:r>
              <w:rPr>
                <w:rFonts w:ascii="Arial" w:hAnsi="Arial" w:cs="Arial"/>
                <w:sz w:val="20"/>
                <w:lang w:val="en-US"/>
              </w:rPr>
              <w:t xml:space="preserve">the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audit </w:t>
            </w:r>
            <w:r>
              <w:rPr>
                <w:rFonts w:ascii="Arial" w:hAnsi="Arial" w:cs="Arial"/>
                <w:sz w:val="20"/>
                <w:lang w:val="en-US"/>
              </w:rPr>
              <w:t>in accordance with SAI policy</w:t>
            </w:r>
            <w:r w:rsidRPr="00CC4535">
              <w:rPr>
                <w:rFonts w:ascii="Arial" w:hAnsi="Arial" w:cs="Arial"/>
                <w:sz w:val="20"/>
                <w:lang w:val="en-US"/>
              </w:rPr>
              <w:t>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 Planning materiality working paper)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sz w:val="20"/>
                <w:lang w:val="en-US"/>
              </w:rPr>
              <w:t xml:space="preserve">ISSAI </w:t>
            </w:r>
          </w:p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sz w:val="20"/>
                <w:lang w:val="en-US"/>
              </w:rPr>
              <w:t xml:space="preserve">1320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7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4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qualitative materiality factors appropriately identified and documented?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 Planning materiality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sz w:val="20"/>
                <w:lang w:val="en-US"/>
              </w:rPr>
              <w:t>ISSAI 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2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5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proofErr w:type="gramStart"/>
            <w:r w:rsidRPr="00CC4535">
              <w:rPr>
                <w:rFonts w:ascii="Arial" w:hAnsi="Arial" w:cs="Arial"/>
                <w:sz w:val="20"/>
              </w:rPr>
              <w:t>Was</w:t>
            </w:r>
            <w:proofErr w:type="gramEnd"/>
            <w:r w:rsidRPr="00CC4535">
              <w:rPr>
                <w:rFonts w:ascii="Arial" w:hAnsi="Arial" w:cs="Arial"/>
                <w:sz w:val="20"/>
              </w:rPr>
              <w:t xml:space="preserve"> the internal audit department and their work adequately evaluated and concluded on?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3.7.5 Review of internal audit </w:t>
            </w:r>
            <w:r>
              <w:rPr>
                <w:rFonts w:ascii="Arial" w:hAnsi="Arial" w:cs="Arial"/>
                <w:i/>
                <w:sz w:val="20"/>
                <w:lang w:val="en-US"/>
              </w:rPr>
              <w:lastRenderedPageBreak/>
              <w:t>working paper)</w:t>
            </w:r>
            <w:r w:rsidRPr="00CC453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</w:rPr>
              <w:lastRenderedPageBreak/>
              <w:t>ISSAI 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6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color w:val="000000"/>
                <w:sz w:val="20"/>
              </w:rPr>
              <w:t>If it was intended to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rely on the work performed by i</w:t>
            </w:r>
            <w:r w:rsidRPr="00CC4535">
              <w:rPr>
                <w:rFonts w:ascii="Arial" w:hAnsi="Arial" w:cs="Arial"/>
                <w:color w:val="000000"/>
                <w:sz w:val="20"/>
              </w:rPr>
              <w:t>nternal audit, was the work evaluated and tested to confirm its adequacy?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3.7.5 Review of internal audit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</w:rPr>
              <w:t>ISSAI 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7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When use was made of the experts work did the auditor obtain sufficient, appropriate audit evidence that such work is adequate for the purposes of the audit?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3.7.12 Using the work of an expert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8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color w:val="000000"/>
                <w:sz w:val="20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fraud risk factors considered and identified?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3.7.7 Fraud checklist)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</w:rPr>
              <w:t>ISSAI 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9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preliminary analytical procedures performed and were conclusions on risks adequately drawn?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3.7.4 Preliminary analytical review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</w:rPr>
              <w:t>ISSAI 1315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sz w:val="20"/>
                <w:lang w:val="en-US"/>
              </w:rPr>
              <w:t>1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0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Were the IT internal controls evaluated?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3.7.9 IT Internal Control Checklist)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</w:rPr>
              <w:t>ISSAI 1315             ISSAI 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11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appropriate considerations given </w:t>
            </w:r>
            <w:r>
              <w:rPr>
                <w:rFonts w:ascii="Arial" w:hAnsi="Arial" w:cs="Arial"/>
                <w:sz w:val="20"/>
                <w:lang w:val="en-US"/>
              </w:rPr>
              <w:t>to the s</w:t>
            </w:r>
            <w:r w:rsidRPr="00CC4535">
              <w:rPr>
                <w:rFonts w:ascii="Arial" w:hAnsi="Arial" w:cs="Arial"/>
                <w:sz w:val="20"/>
                <w:lang w:val="en-US"/>
              </w:rPr>
              <w:t>ustainabili</w:t>
            </w:r>
            <w:r>
              <w:rPr>
                <w:rFonts w:ascii="Arial" w:hAnsi="Arial" w:cs="Arial"/>
                <w:sz w:val="20"/>
                <w:lang w:val="en-US"/>
              </w:rPr>
              <w:t xml:space="preserve">ty of services or going-concern?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3.7.10 Sustainability of Services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1570 ISSAI 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12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Did the audit team obtain knowledge of the entity, including laws and regulations?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Was a meeting held with the engagement team to discuss the susceptibility of the financial statements to material misstatement</w:t>
            </w:r>
            <w:r>
              <w:rPr>
                <w:rFonts w:ascii="Arial" w:hAnsi="Arial" w:cs="Arial"/>
                <w:sz w:val="20"/>
                <w:lang w:val="en-US"/>
              </w:rPr>
              <w:t xml:space="preserve"> due to fraud or error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? 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3.7.15 Engagement team discussion document)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945075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</w:rPr>
              <w:t>ISSAI 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all the risks identified in strategic planning working papers</w:t>
            </w:r>
            <w:r>
              <w:rPr>
                <w:rFonts w:ascii="Arial" w:hAnsi="Arial" w:cs="Arial"/>
                <w:sz w:val="20"/>
                <w:lang w:val="en-US"/>
              </w:rPr>
              <w:t>, including risk of material misstatements,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assessed and proposed response indicated (linked with audit components)?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3.7.13 Risk of material misstatement on a financial statement level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</w:rPr>
            </w:pPr>
            <w:r w:rsidRPr="0057465B">
              <w:rPr>
                <w:rFonts w:ascii="Arial" w:hAnsi="Arial" w:cs="Arial"/>
                <w:sz w:val="20"/>
              </w:rPr>
              <w:t>ISSAI 1315</w:t>
            </w:r>
          </w:p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an appropriate conclusion documented regarding the risk of material misstatement on a financial statement </w:t>
            </w:r>
            <w:r>
              <w:rPr>
                <w:rFonts w:ascii="Arial" w:hAnsi="Arial" w:cs="Arial"/>
                <w:sz w:val="20"/>
                <w:lang w:val="en-US"/>
              </w:rPr>
              <w:t xml:space="preserve">level and was the possible change to the engagement risk adequately mitigated?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3.7.13 Risk of material misstatement on a financial statement level working paper)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</w:rPr>
              <w:t>ISSAI 1220</w:t>
            </w:r>
          </w:p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116C8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CC4535" w:rsidRDefault="00116C8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16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0F100B" w:rsidRDefault="00116C8D" w:rsidP="00241032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overall audit strategy document </w:t>
            </w:r>
          </w:p>
          <w:p w:rsidR="00116C8D" w:rsidRPr="000F100B" w:rsidRDefault="00116C8D" w:rsidP="00116C8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prepared </w:t>
            </w:r>
          </w:p>
          <w:p w:rsidR="00116C8D" w:rsidRDefault="00116C8D" w:rsidP="00116C8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approved</w:t>
            </w:r>
          </w:p>
          <w:p w:rsidR="00116C8D" w:rsidRDefault="00116C8D" w:rsidP="00116C8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communicated to the audit team and </w:t>
            </w:r>
          </w:p>
          <w:p w:rsidR="00116C8D" w:rsidRDefault="00116C8D" w:rsidP="00116C8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CC4535">
              <w:rPr>
                <w:rFonts w:ascii="Arial" w:hAnsi="Arial" w:cs="Arial"/>
                <w:sz w:val="20"/>
                <w:lang w:val="en-US"/>
              </w:rPr>
              <w:t>discussed</w:t>
            </w:r>
            <w:proofErr w:type="gramEnd"/>
            <w:r w:rsidRPr="00CC4535">
              <w:rPr>
                <w:rFonts w:ascii="Arial" w:hAnsi="Arial" w:cs="Arial"/>
                <w:sz w:val="20"/>
                <w:lang w:val="en-US"/>
              </w:rPr>
              <w:t xml:space="preserve"> with the </w:t>
            </w:r>
            <w:proofErr w:type="spellStart"/>
            <w:r w:rsidRPr="00CC4535">
              <w:rPr>
                <w:rFonts w:ascii="Arial" w:hAnsi="Arial" w:cs="Arial"/>
                <w:sz w:val="20"/>
                <w:lang w:val="en-US"/>
              </w:rPr>
              <w:t>auditee’s</w:t>
            </w:r>
            <w:proofErr w:type="spellEnd"/>
            <w:r w:rsidRPr="00CC453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C4535">
              <w:rPr>
                <w:rFonts w:ascii="Arial" w:hAnsi="Arial" w:cs="Arial"/>
                <w:sz w:val="20"/>
                <w:lang w:val="en-US"/>
              </w:rPr>
              <w:lastRenderedPageBreak/>
              <w:t>management?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B2C00">
              <w:rPr>
                <w:rFonts w:ascii="Arial" w:hAnsi="Arial" w:cs="Arial"/>
                <w:i/>
                <w:sz w:val="20"/>
                <w:lang w:val="en-US"/>
              </w:rPr>
              <w:t>(Refer to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working paper 3.7.14 Overall Audit Strategy)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lastRenderedPageBreak/>
              <w:t>ISSAI 1300  ISSAI 1220</w:t>
            </w:r>
          </w:p>
          <w:p w:rsidR="00116C8D" w:rsidRDefault="00116C8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ISSAI 1315    </w:t>
            </w:r>
            <w:r w:rsidRPr="0057465B">
              <w:rPr>
                <w:rFonts w:ascii="Arial" w:hAnsi="Arial" w:cs="Arial"/>
                <w:sz w:val="20"/>
                <w:lang w:val="en-US"/>
              </w:rPr>
              <w:lastRenderedPageBreak/>
              <w:t>ISSAI 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C8D" w:rsidRPr="00756368" w:rsidRDefault="00116C8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</w:tbl>
    <w:p w:rsidR="00116C8D" w:rsidRDefault="00116C8D" w:rsidP="00116C8D">
      <w:pPr>
        <w:pStyle w:val="Heading1"/>
        <w:rPr>
          <w:rFonts w:cs="Arial"/>
        </w:rPr>
        <w:sectPr w:rsidR="00116C8D" w:rsidSect="008E5CF0">
          <w:pgSz w:w="15840" w:h="12240" w:orient="landscape"/>
          <w:pgMar w:top="1797" w:right="902" w:bottom="1797" w:left="1440" w:header="720" w:footer="476" w:gutter="0"/>
          <w:cols w:space="720"/>
          <w:docGrid w:linePitch="360"/>
        </w:sect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40459"/>
    <w:multiLevelType w:val="hybridMultilevel"/>
    <w:tmpl w:val="AB8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16C8D"/>
    <w:rsid w:val="00116C8D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C8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1">
    <w:name w:val="heading 1"/>
    <w:basedOn w:val="Normal"/>
    <w:next w:val="Normal"/>
    <w:link w:val="Heading1Char"/>
    <w:qFormat/>
    <w:rsid w:val="00116C8D"/>
    <w:pPr>
      <w:keepNext/>
      <w:outlineLvl w:val="0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116C8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6C8D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116C8D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116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3132</Characters>
  <Application>Microsoft Office Word</Application>
  <DocSecurity>0</DocSecurity>
  <Lines>26</Lines>
  <Paragraphs>7</Paragraphs>
  <ScaleCrop>false</ScaleCrop>
  <Company> 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2004-09-16T17:05:00Z</dcterms:created>
  <dcterms:modified xsi:type="dcterms:W3CDTF">2004-09-16T17:05:00Z</dcterms:modified>
</cp:coreProperties>
</file>