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912"/>
        <w:tblW w:w="10098" w:type="dxa"/>
        <w:tblLook w:val="04A0"/>
      </w:tblPr>
      <w:tblGrid>
        <w:gridCol w:w="2776"/>
        <w:gridCol w:w="1464"/>
        <w:gridCol w:w="1464"/>
        <w:gridCol w:w="1062"/>
        <w:gridCol w:w="403"/>
        <w:gridCol w:w="1464"/>
        <w:gridCol w:w="1465"/>
      </w:tblGrid>
      <w:tr w:rsidR="00AD325E" w:rsidRPr="00426996" w:rsidTr="00AD325E">
        <w:trPr>
          <w:trHeight w:val="528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Materials for Energy Conversion and Storage</w:t>
            </w:r>
          </w:p>
        </w:tc>
      </w:tr>
      <w:tr w:rsidR="00AD325E" w:rsidRPr="00426996" w:rsidTr="00AD325E">
        <w:trPr>
          <w:trHeight w:val="438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proofErr w:type="spellEnd"/>
            <w:r w:rsidRPr="00AD325E">
              <w:rPr>
                <w:rFonts w:ascii="Times New Roman" w:hAnsi="Times New Roman" w:cs="Times New Roman"/>
                <w:sz w:val="24"/>
                <w:szCs w:val="24"/>
              </w:rPr>
              <w:t xml:space="preserve"> 6450</w:t>
            </w:r>
          </w:p>
        </w:tc>
      </w:tr>
      <w:tr w:rsidR="00AD325E" w:rsidRPr="00426996" w:rsidTr="00AD325E">
        <w:trPr>
          <w:trHeight w:val="429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325E" w:rsidRPr="00426996" w:rsidTr="00AD325E">
        <w:trPr>
          <w:trHeight w:val="429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 xml:space="preserve">Elective </w:t>
            </w:r>
          </w:p>
        </w:tc>
      </w:tr>
      <w:tr w:rsidR="00AD325E" w:rsidRPr="00426996" w:rsidTr="00AD325E">
        <w:trPr>
          <w:trHeight w:val="375"/>
        </w:trPr>
        <w:tc>
          <w:tcPr>
            <w:tcW w:w="2776" w:type="dxa"/>
            <w:vMerge w:val="restart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Weekly workload </w:t>
            </w:r>
          </w:p>
        </w:tc>
        <w:tc>
          <w:tcPr>
            <w:tcW w:w="1464" w:type="dxa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</w:tc>
        <w:tc>
          <w:tcPr>
            <w:tcW w:w="1464" w:type="dxa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Tutorial</w:t>
            </w:r>
          </w:p>
        </w:tc>
        <w:tc>
          <w:tcPr>
            <w:tcW w:w="1465" w:type="dxa"/>
            <w:gridSpan w:val="2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</w:p>
        </w:tc>
        <w:tc>
          <w:tcPr>
            <w:tcW w:w="1464" w:type="dxa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Project work</w:t>
            </w:r>
          </w:p>
        </w:tc>
        <w:tc>
          <w:tcPr>
            <w:tcW w:w="1465" w:type="dxa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Home study</w:t>
            </w:r>
          </w:p>
        </w:tc>
      </w:tr>
      <w:tr w:rsidR="00AD325E" w:rsidRPr="00426996" w:rsidTr="00AD325E">
        <w:trPr>
          <w:trHeight w:val="456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" w:type="dxa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gridSpan w:val="2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AD325E" w:rsidRPr="00AD325E" w:rsidRDefault="00AD325E" w:rsidP="00AD32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325E" w:rsidRPr="00426996" w:rsidTr="00AD325E">
        <w:trPr>
          <w:trHeight w:val="906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>Course Objective</w:t>
            </w:r>
          </w:p>
        </w:tc>
        <w:tc>
          <w:tcPr>
            <w:tcW w:w="7322" w:type="dxa"/>
            <w:gridSpan w:val="6"/>
          </w:tcPr>
          <w:p w:rsidR="00AD325E" w:rsidRPr="00AD325E" w:rsidRDefault="00A06306" w:rsidP="003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course focuses on </w:t>
            </w:r>
            <w:r w:rsidR="00AD325E" w:rsidRPr="00AD325E">
              <w:rPr>
                <w:rFonts w:ascii="Times New Roman" w:hAnsi="Times New Roman" w:cs="Times New Roman"/>
                <w:sz w:val="24"/>
                <w:szCs w:val="24"/>
              </w:rPr>
              <w:t>energy and materials for the conversion of natural resources into usable energy.</w:t>
            </w:r>
            <w:r w:rsidR="00CC505E">
              <w:rPr>
                <w:rFonts w:ascii="Times New Roman" w:hAnsi="Times New Roman" w:cs="Times New Roman"/>
                <w:sz w:val="24"/>
                <w:szCs w:val="24"/>
              </w:rPr>
              <w:t xml:space="preserve"> Special focus is given to solar energy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its </w:t>
            </w:r>
            <w:r w:rsidR="00CC505E">
              <w:rPr>
                <w:rFonts w:ascii="Times New Roman" w:hAnsi="Times New Roman" w:cs="Times New Roman"/>
                <w:sz w:val="24"/>
                <w:szCs w:val="24"/>
              </w:rPr>
              <w:t>conversion</w:t>
            </w:r>
            <w:r w:rsidR="0035693F">
              <w:rPr>
                <w:rFonts w:ascii="Times New Roman" w:hAnsi="Times New Roman" w:cs="Times New Roman"/>
                <w:sz w:val="24"/>
                <w:szCs w:val="24"/>
              </w:rPr>
              <w:t xml:space="preserve">. Materials for electrochemical energy storages such as batteries and </w:t>
            </w:r>
            <w:proofErr w:type="spellStart"/>
            <w:r w:rsidR="0035693F">
              <w:rPr>
                <w:rFonts w:ascii="Times New Roman" w:hAnsi="Times New Roman" w:cs="Times New Roman"/>
                <w:sz w:val="24"/>
                <w:szCs w:val="24"/>
              </w:rPr>
              <w:t>supercapacitors</w:t>
            </w:r>
            <w:proofErr w:type="spellEnd"/>
            <w:r w:rsidR="0035693F">
              <w:rPr>
                <w:rFonts w:ascii="Times New Roman" w:hAnsi="Times New Roman" w:cs="Times New Roman"/>
                <w:sz w:val="24"/>
                <w:szCs w:val="24"/>
              </w:rPr>
              <w:t xml:space="preserve"> will be discussed as well.</w:t>
            </w:r>
          </w:p>
        </w:tc>
      </w:tr>
      <w:tr w:rsidR="00AD325E" w:rsidRPr="00426996" w:rsidTr="003D24DC">
        <w:trPr>
          <w:trHeight w:val="3651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description: </w:t>
            </w:r>
          </w:p>
        </w:tc>
        <w:tc>
          <w:tcPr>
            <w:tcW w:w="7322" w:type="dxa"/>
            <w:gridSpan w:val="6"/>
          </w:tcPr>
          <w:p w:rsidR="00AD325E" w:rsidRDefault="00AD325E" w:rsidP="003D24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Energy, Types of energy, and Environment</w:t>
            </w:r>
          </w:p>
          <w:p w:rsidR="00CC505E" w:rsidRDefault="00CC505E" w:rsidP="003D24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Semiconductors</w:t>
            </w:r>
          </w:p>
          <w:p w:rsidR="00CC505E" w:rsidRDefault="00CC505E" w:rsidP="003D24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PN-Junction</w:t>
            </w:r>
          </w:p>
          <w:p w:rsidR="00CC505E" w:rsidRPr="00AD325E" w:rsidRDefault="00CC505E" w:rsidP="003D24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Solar Cell Operation and Solar cell design principles</w:t>
            </w:r>
          </w:p>
          <w:p w:rsidR="00A06306" w:rsidRDefault="00CC505E" w:rsidP="003D24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Electrochemical energy storages (research works are presented in detail  here)</w:t>
            </w:r>
          </w:p>
          <w:p w:rsidR="00A06306" w:rsidRPr="00A06306" w:rsidRDefault="00A06306" w:rsidP="0035693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 xml:space="preserve">Materials in Solar </w:t>
            </w:r>
            <w:proofErr w:type="spellStart"/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Photovoltaics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(different types of solar cells from different materials) and </w:t>
            </w:r>
            <w:r w:rsidR="0035693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fuel cells will be discussed by students in the form of project. The materials for solar cell and fuel cell application are but not limited to </w:t>
            </w:r>
            <w:r w:rsidR="0035693F">
              <w:rPr>
                <w:rFonts w:ascii="Times New Roman" w:hAnsi="Times New Roman" w:cs="Times New Roman"/>
                <w:sz w:val="24"/>
                <w:szCs w:val="24"/>
              </w:rPr>
              <w:t xml:space="preserve">wide </w:t>
            </w:r>
            <w:proofErr w:type="spellStart"/>
            <w:r w:rsidRPr="00A06306">
              <w:rPr>
                <w:rFonts w:ascii="Times New Roman" w:hAnsi="Times New Roman" w:cs="Times New Roman"/>
                <w:sz w:val="24"/>
                <w:szCs w:val="24"/>
              </w:rPr>
              <w:t>bandgap</w:t>
            </w:r>
            <w:proofErr w:type="spellEnd"/>
            <w:r w:rsidRPr="00A06306">
              <w:rPr>
                <w:rFonts w:ascii="Times New Roman" w:hAnsi="Times New Roman" w:cs="Times New Roman"/>
                <w:sz w:val="24"/>
                <w:szCs w:val="24"/>
              </w:rPr>
              <w:t xml:space="preserve"> semiconductors, oxides, carbon-based  nanostructures, advanced ceramics, </w:t>
            </w:r>
            <w:proofErr w:type="spellStart"/>
            <w:r w:rsidRPr="00A06306">
              <w:rPr>
                <w:rFonts w:ascii="Times New Roman" w:hAnsi="Times New Roman" w:cs="Times New Roman"/>
                <w:sz w:val="24"/>
                <w:szCs w:val="24"/>
              </w:rPr>
              <w:t>chalcogenide</w:t>
            </w:r>
            <w:proofErr w:type="spellEnd"/>
            <w:r w:rsidRPr="00A06306">
              <w:rPr>
                <w:rFonts w:ascii="Times New Roman" w:hAnsi="Times New Roman" w:cs="Times New Roman"/>
                <w:sz w:val="24"/>
                <w:szCs w:val="24"/>
              </w:rPr>
              <w:t xml:space="preserve"> nanostructures, a</w:t>
            </w:r>
            <w:r w:rsidR="003D24DC">
              <w:rPr>
                <w:rFonts w:ascii="Times New Roman" w:hAnsi="Times New Roman" w:cs="Times New Roman"/>
                <w:sz w:val="24"/>
                <w:szCs w:val="24"/>
              </w:rPr>
              <w:t xml:space="preserve">nd flexible organic electronics </w:t>
            </w:r>
            <w:proofErr w:type="spellStart"/>
            <w:r w:rsidRPr="00A06306">
              <w:rPr>
                <w:rFonts w:ascii="Times New Roman" w:hAnsi="Times New Roman" w:cs="Times New Roman"/>
                <w:sz w:val="24"/>
                <w:szCs w:val="24"/>
              </w:rPr>
              <w:t>nanomaterials</w:t>
            </w:r>
            <w:proofErr w:type="spellEnd"/>
            <w:r w:rsidRPr="00A06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325E" w:rsidRPr="00426996" w:rsidTr="00AD325E">
        <w:trPr>
          <w:trHeight w:val="438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Year I Semester II</w:t>
            </w:r>
          </w:p>
        </w:tc>
      </w:tr>
      <w:tr w:rsidR="00AD325E" w:rsidRPr="00426996" w:rsidTr="00AD325E">
        <w:trPr>
          <w:trHeight w:val="519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Prerequisite: </w:t>
            </w: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AD325E" w:rsidRPr="00426996" w:rsidTr="00AD325E">
        <w:trPr>
          <w:trHeight w:val="699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Reference: </w:t>
            </w: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Principles-of-electronic-materials-and-devices</w:t>
            </w:r>
          </w:p>
          <w:p w:rsidR="00AD325E" w:rsidRPr="00AD325E" w:rsidRDefault="00AD325E" w:rsidP="00AD325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 xml:space="preserve">Principles of Energy Conversion, 2nd </w:t>
            </w:r>
            <w:proofErr w:type="spellStart"/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, A. Culp, Jr.</w:t>
            </w:r>
          </w:p>
        </w:tc>
      </w:tr>
      <w:tr w:rsidR="00AD325E" w:rsidRPr="00426996" w:rsidTr="00AD325E">
        <w:trPr>
          <w:trHeight w:val="492"/>
        </w:trPr>
        <w:tc>
          <w:tcPr>
            <w:tcW w:w="2776" w:type="dxa"/>
            <w:vMerge w:val="restart"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>Teaching Methodology and assessment strategy</w:t>
            </w: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Lecture / Tutorial</w:t>
            </w:r>
          </w:p>
        </w:tc>
      </w:tr>
      <w:tr w:rsidR="00AD325E" w:rsidRPr="00426996" w:rsidTr="00AD325E">
        <w:trPr>
          <w:trHeight w:val="492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Exercise / Assignment</w:t>
            </w:r>
          </w:p>
        </w:tc>
      </w:tr>
      <w:tr w:rsidR="00AD325E" w:rsidRPr="00426996" w:rsidTr="003D24DC">
        <w:trPr>
          <w:trHeight w:val="348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2" w:type="dxa"/>
            <w:gridSpan w:val="6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 xml:space="preserve">Laboratory  </w:t>
            </w:r>
          </w:p>
        </w:tc>
      </w:tr>
      <w:tr w:rsidR="00AD325E" w:rsidRPr="00426996" w:rsidTr="00AD325E">
        <w:trPr>
          <w:trHeight w:val="483"/>
        </w:trPr>
        <w:tc>
          <w:tcPr>
            <w:tcW w:w="2776" w:type="dxa"/>
            <w:vMerge w:val="restart"/>
            <w:shd w:val="clear" w:color="auto" w:fill="EAF1DD" w:themeFill="accent3" w:themeFillTint="33"/>
            <w:vAlign w:val="center"/>
          </w:tcPr>
          <w:p w:rsidR="00AD325E" w:rsidRPr="00AD325E" w:rsidRDefault="00AD325E" w:rsidP="00AD32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>Assessment / Evaluation</w:t>
            </w:r>
          </w:p>
        </w:tc>
        <w:tc>
          <w:tcPr>
            <w:tcW w:w="3990" w:type="dxa"/>
            <w:gridSpan w:val="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 xml:space="preserve">Individual assignment / exercise </w:t>
            </w:r>
          </w:p>
        </w:tc>
        <w:tc>
          <w:tcPr>
            <w:tcW w:w="3332" w:type="dxa"/>
            <w:gridSpan w:val="3"/>
          </w:tcPr>
          <w:p w:rsidR="00AD325E" w:rsidRPr="00AD325E" w:rsidRDefault="003D24DC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325E" w:rsidRPr="00AD32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325E" w:rsidRPr="00426996" w:rsidTr="00AD325E">
        <w:trPr>
          <w:trHeight w:val="483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0" w:type="dxa"/>
            <w:gridSpan w:val="3"/>
          </w:tcPr>
          <w:p w:rsidR="00AD325E" w:rsidRPr="00AD325E" w:rsidRDefault="003D24DC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332" w:type="dxa"/>
            <w:gridSpan w:val="3"/>
          </w:tcPr>
          <w:p w:rsidR="00AD325E" w:rsidRPr="00AD325E" w:rsidRDefault="003D24DC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AD325E" w:rsidRPr="00426996" w:rsidTr="00AD325E">
        <w:trPr>
          <w:trHeight w:val="474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0" w:type="dxa"/>
            <w:gridSpan w:val="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Mid-term examination</w:t>
            </w:r>
          </w:p>
        </w:tc>
        <w:tc>
          <w:tcPr>
            <w:tcW w:w="3332" w:type="dxa"/>
            <w:gridSpan w:val="3"/>
          </w:tcPr>
          <w:p w:rsidR="00AD325E" w:rsidRPr="00AD325E" w:rsidRDefault="00AD325E" w:rsidP="00CC50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5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325E" w:rsidRPr="00426996" w:rsidTr="003D24DC">
        <w:trPr>
          <w:trHeight w:val="474"/>
        </w:trPr>
        <w:tc>
          <w:tcPr>
            <w:tcW w:w="2776" w:type="dxa"/>
            <w:vMerge/>
            <w:shd w:val="clear" w:color="auto" w:fill="EAF1DD" w:themeFill="accent3" w:themeFillTint="3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0" w:type="dxa"/>
            <w:gridSpan w:val="3"/>
          </w:tcPr>
          <w:p w:rsidR="00AD325E" w:rsidRPr="00AD325E" w:rsidRDefault="00AD325E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 xml:space="preserve">Final examination </w:t>
            </w:r>
          </w:p>
        </w:tc>
        <w:tc>
          <w:tcPr>
            <w:tcW w:w="3332" w:type="dxa"/>
            <w:gridSpan w:val="3"/>
          </w:tcPr>
          <w:p w:rsidR="00AD325E" w:rsidRPr="00AD325E" w:rsidRDefault="003D24DC" w:rsidP="00AD32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325E" w:rsidRPr="00AD325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D325E" w:rsidRPr="00426996" w:rsidTr="00CC505E">
        <w:trPr>
          <w:trHeight w:val="330"/>
        </w:trPr>
        <w:tc>
          <w:tcPr>
            <w:tcW w:w="2776" w:type="dxa"/>
            <w:shd w:val="clear" w:color="auto" w:fill="EAF1DD" w:themeFill="accent3" w:themeFillTint="33"/>
          </w:tcPr>
          <w:p w:rsidR="00AD325E" w:rsidRPr="00AD325E" w:rsidRDefault="00AD325E" w:rsidP="00AD3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b/>
                <w:sz w:val="24"/>
                <w:szCs w:val="24"/>
              </w:rPr>
              <w:t>Attendance requirement</w:t>
            </w:r>
          </w:p>
        </w:tc>
        <w:tc>
          <w:tcPr>
            <w:tcW w:w="7322" w:type="dxa"/>
            <w:gridSpan w:val="6"/>
          </w:tcPr>
          <w:p w:rsidR="00AD325E" w:rsidRPr="00AD325E" w:rsidRDefault="00AD325E" w:rsidP="00CC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5E">
              <w:rPr>
                <w:rFonts w:ascii="Times New Roman" w:hAnsi="Times New Roman" w:cs="Times New Roman"/>
                <w:sz w:val="24"/>
                <w:szCs w:val="24"/>
              </w:rPr>
              <w:t xml:space="preserve">Minimum of 75% of lecture </w:t>
            </w:r>
          </w:p>
        </w:tc>
      </w:tr>
    </w:tbl>
    <w:p w:rsidR="00DF54D2" w:rsidRPr="00AD325E" w:rsidRDefault="00AD325E" w:rsidP="00AD325E">
      <w:pPr>
        <w:spacing w:after="0"/>
        <w:rPr>
          <w:sz w:val="24"/>
        </w:rPr>
      </w:pPr>
      <w:r w:rsidRPr="00AD325E">
        <w:rPr>
          <w:rFonts w:ascii="Times New Roman" w:hAnsi="Times New Roman" w:cs="Times New Roman"/>
          <w:b/>
          <w:sz w:val="28"/>
          <w:szCs w:val="24"/>
        </w:rPr>
        <w:t>Materials for Energy Conversion and Storage –</w:t>
      </w:r>
      <w:proofErr w:type="spellStart"/>
      <w:r w:rsidRPr="00AD325E">
        <w:rPr>
          <w:rFonts w:ascii="Times New Roman" w:hAnsi="Times New Roman" w:cs="Times New Roman"/>
          <w:b/>
          <w:sz w:val="28"/>
          <w:szCs w:val="24"/>
        </w:rPr>
        <w:t>MatE</w:t>
      </w:r>
      <w:proofErr w:type="spellEnd"/>
      <w:r w:rsidRPr="00AD325E">
        <w:rPr>
          <w:rFonts w:ascii="Times New Roman" w:hAnsi="Times New Roman" w:cs="Times New Roman"/>
          <w:b/>
          <w:sz w:val="28"/>
          <w:szCs w:val="24"/>
        </w:rPr>
        <w:t xml:space="preserve"> 6450</w:t>
      </w:r>
    </w:p>
    <w:sectPr w:rsidR="00DF54D2" w:rsidRPr="00AD325E" w:rsidSect="00DF5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57D31"/>
    <w:multiLevelType w:val="hybridMultilevel"/>
    <w:tmpl w:val="67965D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26A75"/>
    <w:multiLevelType w:val="hybridMultilevel"/>
    <w:tmpl w:val="E7FC3368"/>
    <w:lvl w:ilvl="0" w:tplc="947A86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733172"/>
    <w:multiLevelType w:val="hybridMultilevel"/>
    <w:tmpl w:val="561E2B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characterSpacingControl w:val="doNotCompress"/>
  <w:compat>
    <w:applyBreakingRules/>
    <w:useFELayout/>
  </w:compat>
  <w:rsids>
    <w:rsidRoot w:val="00AD325E"/>
    <w:rsid w:val="001C3D0B"/>
    <w:rsid w:val="0035693F"/>
    <w:rsid w:val="003D24DC"/>
    <w:rsid w:val="009777A7"/>
    <w:rsid w:val="00A0154C"/>
    <w:rsid w:val="00A06306"/>
    <w:rsid w:val="00AD325E"/>
    <w:rsid w:val="00CC505E"/>
    <w:rsid w:val="00D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5E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2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25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2020-04-29T11:28:00Z</dcterms:created>
  <dcterms:modified xsi:type="dcterms:W3CDTF">2020-04-30T12:15:00Z</dcterms:modified>
</cp:coreProperties>
</file>