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240"/>
        <w:gridCol w:w="4320"/>
        <w:gridCol w:w="1800"/>
        <w:gridCol w:w="1260"/>
      </w:tblGrid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Course Title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266DCE" w:rsidRPr="00C42DDC" w:rsidRDefault="00266DCE" w:rsidP="0079274A">
            <w:p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bCs/>
                <w:sz w:val="20"/>
                <w:szCs w:val="20"/>
              </w:rPr>
              <w:t>Mechanisms of Machinery</w:t>
            </w:r>
          </w:p>
        </w:tc>
        <w:tc>
          <w:tcPr>
            <w:tcW w:w="180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Course Number</w:t>
            </w:r>
          </w:p>
        </w:tc>
        <w:tc>
          <w:tcPr>
            <w:tcW w:w="126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C42DDC">
              <w:rPr>
                <w:rFonts w:ascii="Century Gothic" w:hAnsi="Century Gothic"/>
                <w:b/>
                <w:sz w:val="20"/>
                <w:szCs w:val="20"/>
              </w:rPr>
              <w:t>MEng</w:t>
            </w:r>
            <w:proofErr w:type="spellEnd"/>
            <w:r w:rsidRPr="00C42DDC">
              <w:rPr>
                <w:rFonts w:ascii="Century Gothic" w:hAnsi="Century Gothic"/>
                <w:b/>
                <w:sz w:val="20"/>
                <w:szCs w:val="20"/>
              </w:rPr>
              <w:t xml:space="preserve"> 3071</w:t>
            </w: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Degree Program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266DCE" w:rsidRPr="00C42DDC" w:rsidRDefault="00266DCE" w:rsidP="0079274A">
            <w:p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Bachelor of Science in Mechanical Engineering </w:t>
            </w:r>
          </w:p>
        </w:tc>
        <w:tc>
          <w:tcPr>
            <w:tcW w:w="180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Lecturer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266DCE" w:rsidRPr="00C42DDC" w:rsidRDefault="00266DCE" w:rsidP="007927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Kassahun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Mekonnen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C42DDC">
              <w:rPr>
                <w:rFonts w:ascii="Century Gothic" w:hAnsi="Century Gothic"/>
                <w:b/>
                <w:sz w:val="20"/>
                <w:szCs w:val="20"/>
              </w:rPr>
              <w:t>ECTS</w:t>
            </w:r>
            <w:proofErr w:type="spellEnd"/>
          </w:p>
        </w:tc>
        <w:tc>
          <w:tcPr>
            <w:tcW w:w="126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Professor in Charge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266DCE" w:rsidRPr="00C42DDC" w:rsidRDefault="00266DCE" w:rsidP="007927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Alem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Bazezew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(part timer)</w:t>
            </w:r>
          </w:p>
        </w:tc>
        <w:tc>
          <w:tcPr>
            <w:tcW w:w="180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Credit Hours</w:t>
            </w:r>
          </w:p>
        </w:tc>
        <w:tc>
          <w:tcPr>
            <w:tcW w:w="126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</w:tr>
      <w:tr w:rsidR="00266DCE" w:rsidRPr="00C42DDC" w:rsidTr="0079274A">
        <w:tc>
          <w:tcPr>
            <w:tcW w:w="10620" w:type="dxa"/>
            <w:gridSpan w:val="4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Course Description and Course Objectives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66DCE" w:rsidRPr="00C42DDC" w:rsidTr="0079274A">
        <w:trPr>
          <w:trHeight w:val="233"/>
        </w:trPr>
        <w:tc>
          <w:tcPr>
            <w:tcW w:w="10620" w:type="dxa"/>
            <w:gridSpan w:val="4"/>
          </w:tcPr>
          <w:p w:rsidR="00266DCE" w:rsidRPr="00C42DDC" w:rsidRDefault="00266DCE" w:rsidP="0079274A">
            <w:p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Course Objectives: 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</w:tr>
      <w:tr w:rsidR="00266DCE" w:rsidRPr="00C42DDC" w:rsidTr="0079274A">
        <w:trPr>
          <w:trHeight w:val="232"/>
        </w:trPr>
        <w:tc>
          <w:tcPr>
            <w:tcW w:w="10620" w:type="dxa"/>
            <w:gridSpan w:val="4"/>
          </w:tcPr>
          <w:p w:rsidR="00266DCE" w:rsidRPr="00C42DDC" w:rsidRDefault="00266DCE" w:rsidP="0079274A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The course enables students to understand:</w:t>
            </w:r>
          </w:p>
          <w:p w:rsidR="00266DCE" w:rsidRPr="00C42DDC" w:rsidRDefault="00266DCE" w:rsidP="00266DCE">
            <w:pPr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The different types of linkage mechanisms used in mechanical design;</w:t>
            </w:r>
          </w:p>
          <w:p w:rsidR="00266DCE" w:rsidRPr="00C42DDC" w:rsidRDefault="00266DCE" w:rsidP="00266DCE">
            <w:pPr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The kinematic and kinetic analysis and design of machinery;</w:t>
            </w:r>
          </w:p>
          <w:p w:rsidR="00266DCE" w:rsidRPr="00C42DDC" w:rsidRDefault="00266DCE" w:rsidP="00266DCE">
            <w:pPr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Computer method for kinematic and kinetic analysis of mechanisms;</w:t>
            </w:r>
          </w:p>
          <w:p w:rsidR="00266DCE" w:rsidRPr="00C42DDC" w:rsidRDefault="00266DCE" w:rsidP="00266DCE">
            <w:pPr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Design and analysis of cams, universal joints, governors, gear trains, flywheels and gyroscopes; and</w:t>
            </w:r>
          </w:p>
          <w:p w:rsidR="00266DCE" w:rsidRPr="00C42DDC" w:rsidRDefault="00266DCE" w:rsidP="00266DCE">
            <w:pPr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Balancing of rotating and reciprocating machines. </w:t>
            </w:r>
          </w:p>
        </w:tc>
      </w:tr>
      <w:tr w:rsidR="00266DCE" w:rsidRPr="00C42DDC" w:rsidTr="0079274A">
        <w:trPr>
          <w:trHeight w:val="233"/>
        </w:trPr>
        <w:tc>
          <w:tcPr>
            <w:tcW w:w="10620" w:type="dxa"/>
            <w:gridSpan w:val="4"/>
          </w:tcPr>
          <w:p w:rsidR="00266DCE" w:rsidRPr="00C42DDC" w:rsidRDefault="00266DCE" w:rsidP="0079274A">
            <w:p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Course Description:</w:t>
            </w:r>
          </w:p>
        </w:tc>
      </w:tr>
      <w:tr w:rsidR="00266DCE" w:rsidRPr="00C42DDC" w:rsidTr="0079274A">
        <w:trPr>
          <w:trHeight w:val="232"/>
        </w:trPr>
        <w:tc>
          <w:tcPr>
            <w:tcW w:w="10620" w:type="dxa"/>
            <w:gridSpan w:val="4"/>
          </w:tcPr>
          <w:p w:rsidR="00266DCE" w:rsidRPr="00C42DDC" w:rsidRDefault="00266DCE" w:rsidP="0079274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Introduction; Transmission of motion; Linkages; Kinematics analysis of linkages; Introduction to computer methods for kinematic analysis of linkages; cam design; Joints; Governors; Gear Trains; Introduction to synthesis; Force analysis of machinery; Engine torque fluctuation; Balancing of rotating and reciprocating masses; Gyroscopes.    </w:t>
            </w: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Prerequisites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gridSpan w:val="3"/>
          </w:tcPr>
          <w:p w:rsidR="00266DCE" w:rsidRPr="00C42DDC" w:rsidRDefault="00266DCE" w:rsidP="0079274A">
            <w:pPr>
              <w:rPr>
                <w:rFonts w:ascii="Century Gothic" w:eastAsia="Arial Unicode MS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bCs/>
                <w:sz w:val="20"/>
                <w:szCs w:val="20"/>
              </w:rPr>
              <w:t xml:space="preserve">Engineering Mechanics II (Dynamics) </w:t>
            </w: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Literature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3"/>
          </w:tcPr>
          <w:p w:rsidR="00266DCE" w:rsidRPr="00C42DDC" w:rsidRDefault="00266DCE" w:rsidP="00266DCE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Norton, Robert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L.,</w:t>
            </w:r>
            <w:r w:rsidRPr="00C42DDC">
              <w:rPr>
                <w:rFonts w:ascii="Century Gothic" w:hAnsi="Century Gothic"/>
                <w:i/>
                <w:sz w:val="20"/>
                <w:szCs w:val="20"/>
              </w:rPr>
              <w:t>”Design</w:t>
            </w:r>
            <w:proofErr w:type="spellEnd"/>
            <w:r w:rsidRPr="00C42DDC">
              <w:rPr>
                <w:rFonts w:ascii="Century Gothic" w:hAnsi="Century Gothic"/>
                <w:i/>
                <w:sz w:val="20"/>
                <w:szCs w:val="20"/>
              </w:rPr>
              <w:t xml:space="preserve"> of Machinery”,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WCB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>/McGraw-Hill, 1999.</w:t>
            </w:r>
          </w:p>
          <w:p w:rsidR="00266DCE" w:rsidRPr="00C42DDC" w:rsidRDefault="00266DCE" w:rsidP="00266DCE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Meriam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J.L.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Kraige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L.G.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C42DDC">
              <w:rPr>
                <w:rFonts w:ascii="Century Gothic" w:hAnsi="Century Gothic"/>
                <w:i/>
                <w:sz w:val="20"/>
                <w:szCs w:val="20"/>
              </w:rPr>
              <w:t>“Engineering Mechanics- Dynamics”</w:t>
            </w:r>
            <w:r w:rsidRPr="00C42DDC">
              <w:rPr>
                <w:rFonts w:ascii="Century Gothic" w:hAnsi="Century Gothic"/>
                <w:sz w:val="20"/>
                <w:szCs w:val="20"/>
              </w:rPr>
              <w:t>, John Wiley and Sons, 1992.</w:t>
            </w:r>
          </w:p>
          <w:p w:rsidR="00266DCE" w:rsidRPr="00C42DDC" w:rsidRDefault="00266DCE" w:rsidP="00266DCE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Shigley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J.E.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Uicker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J.J.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>,</w:t>
            </w:r>
            <w:r w:rsidRPr="00C42DDC">
              <w:rPr>
                <w:rFonts w:ascii="Century Gothic" w:hAnsi="Century Gothic"/>
                <w:i/>
                <w:sz w:val="20"/>
                <w:szCs w:val="20"/>
              </w:rPr>
              <w:t xml:space="preserve"> “Theory of Machines and Mechanisms”</w:t>
            </w:r>
            <w:r w:rsidRPr="00C42DDC">
              <w:rPr>
                <w:rFonts w:ascii="Century Gothic" w:hAnsi="Century Gothic"/>
                <w:sz w:val="20"/>
                <w:szCs w:val="20"/>
              </w:rPr>
              <w:t>, McGraw-Hill Book Company, Inc., 1995.</w:t>
            </w:r>
          </w:p>
          <w:p w:rsidR="00266DCE" w:rsidRPr="00C42DDC" w:rsidRDefault="00266DCE" w:rsidP="00266DCE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Khurmi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R.S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 and Gupta,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J.K.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C42DDC">
              <w:rPr>
                <w:rFonts w:ascii="Century Gothic" w:hAnsi="Century Gothic"/>
                <w:i/>
                <w:sz w:val="20"/>
                <w:szCs w:val="20"/>
              </w:rPr>
              <w:t>“Theory of Machines”</w:t>
            </w:r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smartTag w:uri="urn:schemas-microsoft-com:office:smarttags" w:element="place">
              <w:r w:rsidRPr="00C42DDC">
                <w:rPr>
                  <w:rFonts w:ascii="Century Gothic" w:hAnsi="Century Gothic"/>
                  <w:sz w:val="20"/>
                  <w:szCs w:val="20"/>
                </w:rPr>
                <w:t>Eurasia</w:t>
              </w:r>
            </w:smartTag>
            <w:r w:rsidRPr="00C42DDC">
              <w:rPr>
                <w:rFonts w:ascii="Century Gothic" w:hAnsi="Century Gothic"/>
                <w:sz w:val="20"/>
                <w:szCs w:val="20"/>
              </w:rPr>
              <w:t xml:space="preserve"> Publishing House ltd., 1983.  </w:t>
            </w:r>
          </w:p>
          <w:p w:rsidR="00266DCE" w:rsidRPr="005356FE" w:rsidRDefault="00266DCE" w:rsidP="00266DCE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356FE">
              <w:rPr>
                <w:rFonts w:ascii="Century Gothic" w:hAnsi="Century Gothic"/>
                <w:color w:val="333333"/>
                <w:sz w:val="20"/>
                <w:szCs w:val="20"/>
              </w:rPr>
              <w:t xml:space="preserve">Arthur G. Erdman, George N. </w:t>
            </w:r>
            <w:proofErr w:type="spellStart"/>
            <w:r w:rsidRPr="005356FE">
              <w:rPr>
                <w:rFonts w:ascii="Century Gothic" w:hAnsi="Century Gothic"/>
                <w:color w:val="333333"/>
                <w:sz w:val="20"/>
                <w:szCs w:val="20"/>
              </w:rPr>
              <w:t>Sandor</w:t>
            </w:r>
            <w:proofErr w:type="spellEnd"/>
            <w:r w:rsidRPr="005356FE">
              <w:rPr>
                <w:rFonts w:ascii="Century Gothic" w:hAnsi="Century Gothic"/>
                <w:color w:val="333333"/>
                <w:sz w:val="20"/>
                <w:szCs w:val="20"/>
              </w:rPr>
              <w:t xml:space="preserve">, Sridhar Kota, and Arthur G Erdman, </w:t>
            </w:r>
            <w:r w:rsidRPr="005356FE">
              <w:rPr>
                <w:rStyle w:val="srtitle1"/>
                <w:rFonts w:ascii="Century Gothic" w:hAnsi="Century Gothic"/>
                <w:i/>
                <w:color w:val="333333"/>
                <w:sz w:val="20"/>
                <w:szCs w:val="20"/>
              </w:rPr>
              <w:t>Mechanism Design: Analysis and Synthesis (4th Edition)</w:t>
            </w:r>
            <w:proofErr w:type="gramStart"/>
            <w:r w:rsidRPr="005356FE">
              <w:rPr>
                <w:rFonts w:ascii="Century Gothic" w:hAnsi="Century Gothic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5356FE">
              <w:rPr>
                <w:rStyle w:val="bindingblock1"/>
                <w:rFonts w:ascii="Century Gothic" w:hAnsi="Century Gothic"/>
                <w:color w:val="333333"/>
                <w:sz w:val="20"/>
                <w:szCs w:val="20"/>
              </w:rPr>
              <w:t xml:space="preserve"> May</w:t>
            </w:r>
            <w:proofErr w:type="gramEnd"/>
            <w:r w:rsidRPr="005356FE">
              <w:rPr>
                <w:rStyle w:val="bindingblock1"/>
                <w:rFonts w:ascii="Century Gothic" w:hAnsi="Century Gothic"/>
                <w:color w:val="333333"/>
                <w:sz w:val="20"/>
                <w:szCs w:val="20"/>
              </w:rPr>
              <w:t xml:space="preserve"> 15, 2001.</w:t>
            </w:r>
          </w:p>
          <w:p w:rsidR="00266DCE" w:rsidRPr="00C42DDC" w:rsidRDefault="00266DCE" w:rsidP="00266DCE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Erdman,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Arthuer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 G. and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Sandor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>, George N., “Mechanism Design: Analysis and Synthesis”, Prentice Hall International, Inc., 1997.</w:t>
            </w:r>
          </w:p>
          <w:p w:rsidR="00266DCE" w:rsidRPr="00C42DDC" w:rsidRDefault="00266DCE" w:rsidP="00266DCE">
            <w:pPr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Alem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C42DDC">
              <w:rPr>
                <w:rFonts w:ascii="Century Gothic" w:hAnsi="Century Gothic"/>
                <w:sz w:val="20"/>
                <w:szCs w:val="20"/>
              </w:rPr>
              <w:t>Bazezew</w:t>
            </w:r>
            <w:proofErr w:type="spellEnd"/>
            <w:r w:rsidRPr="00C42D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C42DDC">
              <w:rPr>
                <w:rFonts w:ascii="Century Gothic" w:hAnsi="Century Gothic"/>
                <w:i/>
                <w:sz w:val="20"/>
                <w:szCs w:val="20"/>
              </w:rPr>
              <w:t xml:space="preserve">Mechanisms of Machinery, </w:t>
            </w:r>
            <w:smartTag w:uri="urn:schemas-microsoft-com:office:smarttags" w:element="place">
              <w:smartTag w:uri="urn:schemas-microsoft-com:office:smarttags" w:element="PlaceName">
                <w:r w:rsidRPr="00C42DDC">
                  <w:rPr>
                    <w:rFonts w:ascii="Century Gothic" w:hAnsi="Century Gothic"/>
                    <w:sz w:val="20"/>
                    <w:szCs w:val="20"/>
                  </w:rPr>
                  <w:t>Addis Ababa</w:t>
                </w:r>
              </w:smartTag>
              <w:r w:rsidRPr="00C42DDC">
                <w:rPr>
                  <w:rFonts w:ascii="Century Gothic" w:hAnsi="Century Gothi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C42DDC">
                  <w:rPr>
                    <w:rFonts w:ascii="Century Gothic" w:hAnsi="Century Gothic"/>
                    <w:sz w:val="20"/>
                    <w:szCs w:val="20"/>
                  </w:rPr>
                  <w:t>University</w:t>
                </w:r>
              </w:smartTag>
            </w:smartTag>
            <w:r w:rsidRPr="00C42DDC">
              <w:rPr>
                <w:rFonts w:ascii="Century Gothic" w:hAnsi="Century Gothic"/>
                <w:sz w:val="20"/>
                <w:szCs w:val="20"/>
              </w:rPr>
              <w:t xml:space="preserve"> Press, 2001</w:t>
            </w: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Teaching Methods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3"/>
          </w:tcPr>
          <w:p w:rsidR="00266DCE" w:rsidRPr="00C42DDC" w:rsidRDefault="00266DCE" w:rsidP="00266DCE">
            <w:pPr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Lectures supported by tutorials, </w:t>
            </w:r>
          </w:p>
          <w:p w:rsidR="00266DCE" w:rsidRPr="00C42DDC" w:rsidRDefault="00266DCE" w:rsidP="00266DCE">
            <w:pPr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Assignments, and </w:t>
            </w:r>
          </w:p>
          <w:p w:rsidR="00266DCE" w:rsidRPr="00C42DDC" w:rsidRDefault="00266DCE" w:rsidP="00266DCE">
            <w:pPr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Industrial visits.</w:t>
            </w: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Assessment / Evaluation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3"/>
          </w:tcPr>
          <w:p w:rsidR="00266DCE" w:rsidRPr="00C42DDC" w:rsidRDefault="00266DCE" w:rsidP="00266DCE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Assignments                                       10%, </w:t>
            </w:r>
          </w:p>
          <w:p w:rsidR="00266DCE" w:rsidRPr="00C42DDC" w:rsidRDefault="00266DCE" w:rsidP="00266DCE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 xml:space="preserve">Mid-semester Examination                20%,  </w:t>
            </w:r>
          </w:p>
          <w:p w:rsidR="00266DCE" w:rsidRPr="00C42DDC" w:rsidRDefault="00266DCE" w:rsidP="00266DCE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Laboratory exercises                          20%, and</w:t>
            </w:r>
          </w:p>
          <w:p w:rsidR="00266DCE" w:rsidRPr="00C42DDC" w:rsidRDefault="00266DCE" w:rsidP="00266DCE">
            <w:pPr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Final Examination                              50%.</w:t>
            </w:r>
          </w:p>
        </w:tc>
      </w:tr>
      <w:tr w:rsidR="00266DCE" w:rsidRPr="00C42DDC" w:rsidTr="0079274A">
        <w:tc>
          <w:tcPr>
            <w:tcW w:w="3240" w:type="dxa"/>
          </w:tcPr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42DDC">
              <w:rPr>
                <w:rFonts w:ascii="Century Gothic" w:hAnsi="Century Gothic"/>
                <w:b/>
                <w:sz w:val="20"/>
                <w:szCs w:val="20"/>
              </w:rPr>
              <w:t>Attendance Requirement</w:t>
            </w:r>
          </w:p>
          <w:p w:rsidR="00266DCE" w:rsidRPr="00C42DDC" w:rsidRDefault="00266DCE" w:rsidP="0079274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3"/>
          </w:tcPr>
          <w:p w:rsidR="00266DCE" w:rsidRPr="00C42DDC" w:rsidRDefault="00266DCE" w:rsidP="00266DCE">
            <w:pPr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Minimum of 75% attendance during lecture hours;</w:t>
            </w:r>
          </w:p>
          <w:p w:rsidR="00266DCE" w:rsidRPr="00C42DDC" w:rsidRDefault="00266DCE" w:rsidP="00266DCE">
            <w:pPr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100% attendance during practical work sessions, except for some unprecedented mishaps; and</w:t>
            </w:r>
          </w:p>
          <w:p w:rsidR="00266DCE" w:rsidRPr="00C42DDC" w:rsidRDefault="00266DCE" w:rsidP="00266DCE">
            <w:pPr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C42DDC">
              <w:rPr>
                <w:rFonts w:ascii="Century Gothic" w:hAnsi="Century Gothic"/>
                <w:sz w:val="20"/>
                <w:szCs w:val="20"/>
              </w:rPr>
              <w:t>Presence during industrial visit/visits.</w:t>
            </w:r>
          </w:p>
        </w:tc>
      </w:tr>
    </w:tbl>
    <w:p w:rsidR="005E5E14" w:rsidRDefault="005E5E14"/>
    <w:sectPr w:rsidR="005E5E14" w:rsidSect="005E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1822"/>
    <w:multiLevelType w:val="hybridMultilevel"/>
    <w:tmpl w:val="2E90BB9A"/>
    <w:lvl w:ilvl="0" w:tplc="99C6E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CC416">
      <w:start w:val="1"/>
      <w:numFmt w:val="bullet"/>
      <w:lvlText w:val="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C0430"/>
    <w:multiLevelType w:val="hybridMultilevel"/>
    <w:tmpl w:val="C72689A6"/>
    <w:lvl w:ilvl="0" w:tplc="EC68E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D2F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A1A9B"/>
    <w:multiLevelType w:val="hybridMultilevel"/>
    <w:tmpl w:val="FA541A62"/>
    <w:lvl w:ilvl="0" w:tplc="D1567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E0E6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735747"/>
    <w:multiLevelType w:val="hybridMultilevel"/>
    <w:tmpl w:val="2B7A5872"/>
    <w:lvl w:ilvl="0" w:tplc="8C588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8E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656022"/>
    <w:multiLevelType w:val="hybridMultilevel"/>
    <w:tmpl w:val="C62C4168"/>
    <w:lvl w:ilvl="0" w:tplc="0DE45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8E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266DCE"/>
    <w:rsid w:val="00266DCE"/>
    <w:rsid w:val="005E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dingblock1">
    <w:name w:val="bindingblock1"/>
    <w:basedOn w:val="DefaultParagraphFont"/>
    <w:rsid w:val="00266DCE"/>
    <w:rPr>
      <w:rFonts w:ascii="Verdana" w:hAnsi="Verdana" w:hint="default"/>
      <w:sz w:val="17"/>
      <w:szCs w:val="17"/>
      <w:shd w:val="clear" w:color="auto" w:fill="FFFFFF"/>
    </w:rPr>
  </w:style>
  <w:style w:type="character" w:customStyle="1" w:styleId="srtitle1">
    <w:name w:val="srtitle1"/>
    <w:basedOn w:val="DefaultParagraphFont"/>
    <w:rsid w:val="00266DCE"/>
    <w:rPr>
      <w:rFonts w:ascii="Verdana" w:hAnsi="Verdana" w:hint="default"/>
      <w:b/>
      <w:bCs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aychil</dc:creator>
  <cp:lastModifiedBy>aychil</cp:lastModifiedBy>
  <cp:revision>1</cp:revision>
  <dcterms:created xsi:type="dcterms:W3CDTF">2012-09-22T09:42:00Z</dcterms:created>
  <dcterms:modified xsi:type="dcterms:W3CDTF">2012-09-22T09:43:00Z</dcterms:modified>
</cp:coreProperties>
</file>